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jc w:val="left"/>
        <w:rPr>
          <w:rFonts w:ascii="黑体" w:eastAsia="黑体" w:cs="宋体" w:hint="eastAsia"/>
          <w:b/>
          <w:kern w:val="0"/>
          <w:szCs w:val="32"/>
          <w:lang w:val="en-US" w:eastAsia="zh-CN"/>
        </w:rPr>
      </w:pPr>
      <w:r>
        <w:rPr>
          <w:rFonts w:ascii="黑体" w:eastAsia="黑体" w:hint="eastAsia"/>
          <w:kern w:val="0"/>
          <w:szCs w:val="32"/>
        </w:rPr>
        <w:t>表1</w:t>
      </w:r>
      <w:r>
        <w:rPr>
          <w:rFonts w:ascii="黑体" w:eastAsia="黑体" w:hint="eastAsia"/>
          <w:kern w:val="0"/>
          <w:szCs w:val="32"/>
          <w:lang w:val="en-US" w:eastAsia="zh-CN"/>
        </w:rPr>
        <w:t>0</w:t>
      </w:r>
    </w:p>
    <w:p>
      <w:pPr>
        <w:pStyle w:val="18"/>
        <w:spacing w:line="360" w:lineRule="auto"/>
        <w:jc w:val="center"/>
        <w:rPr>
          <w:rFonts w:ascii="Times New Roman" w:eastAsia="黑体" w:hAnsi="Times New Roman"/>
          <w:kern w:val="0"/>
          <w:sz w:val="36"/>
          <w:szCs w:val="36"/>
        </w:rPr>
      </w:pPr>
      <w:r>
        <w:rPr>
          <w:rFonts w:ascii="Times New Roman" w:eastAsia="黑体" w:hAnsi="Times New Roman" w:hint="eastAsia"/>
          <w:kern w:val="0"/>
          <w:sz w:val="36"/>
          <w:szCs w:val="36"/>
        </w:rPr>
        <w:t>电视节目录制技术质量奖参评节目要求</w:t>
      </w:r>
    </w:p>
    <w:p>
      <w:pPr>
        <w:pStyle w:val="18"/>
        <w:adjustRightInd w:val="0"/>
        <w:snapToGrid w:val="0"/>
        <w:spacing w:line="560" w:lineRule="exact"/>
        <w:ind w:right="93"/>
        <w:rPr>
          <w:rFonts w:ascii="仿宋" w:eastAsia="仿宋" w:hint="eastAsia"/>
          <w:bCs/>
          <w:sz w:val="32"/>
          <w:szCs w:val="32"/>
        </w:rPr>
      </w:pPr>
      <w:r>
        <w:rPr>
          <w:rFonts w:ascii="仿宋" w:eastAsia="仿宋" w:hint="eastAsia"/>
          <w:b/>
          <w:sz w:val="32"/>
          <w:szCs w:val="32"/>
        </w:rPr>
        <w:t xml:space="preserve"> </w:t>
      </w:r>
      <w:r>
        <w:rPr>
          <w:rFonts w:ascii="仿宋" w:eastAsia="仿宋" w:hint="eastAsia"/>
          <w:bCs/>
          <w:sz w:val="32"/>
          <w:szCs w:val="32"/>
        </w:rPr>
        <w:t>1．参评的节目须由申报单位人员录制，且首播时间在上一年</w:t>
      </w:r>
      <w:r>
        <w:rPr>
          <w:rFonts w:ascii="仿宋" w:eastAsia="仿宋"/>
          <w:bCs/>
          <w:sz w:val="32"/>
          <w:szCs w:val="32"/>
        </w:rPr>
        <w:t>7</w:t>
      </w:r>
      <w:r>
        <w:rPr>
          <w:rFonts w:ascii="仿宋" w:eastAsia="仿宋" w:hint="eastAsia"/>
          <w:bCs/>
          <w:sz w:val="32"/>
          <w:szCs w:val="32"/>
        </w:rPr>
        <w:t>月</w:t>
      </w:r>
      <w:r>
        <w:rPr>
          <w:rFonts w:ascii="仿宋" w:eastAsia="仿宋"/>
          <w:bCs/>
          <w:sz w:val="32"/>
          <w:szCs w:val="32"/>
        </w:rPr>
        <w:t>2</w:t>
      </w:r>
      <w:r>
        <w:rPr>
          <w:rFonts w:ascii="仿宋" w:eastAsia="仿宋" w:hint="eastAsia"/>
          <w:bCs/>
          <w:sz w:val="32"/>
          <w:szCs w:val="32"/>
        </w:rPr>
        <w:t>1日至本年</w:t>
      </w:r>
      <w:r>
        <w:rPr>
          <w:rFonts w:ascii="仿宋" w:eastAsia="仿宋"/>
          <w:bCs/>
          <w:sz w:val="32"/>
          <w:szCs w:val="32"/>
        </w:rPr>
        <w:t>7</w:t>
      </w:r>
      <w:r>
        <w:rPr>
          <w:rFonts w:ascii="仿宋" w:eastAsia="仿宋" w:hint="eastAsia"/>
          <w:bCs/>
          <w:sz w:val="32"/>
          <w:szCs w:val="32"/>
        </w:rPr>
        <w:t>月</w:t>
      </w:r>
      <w:r>
        <w:rPr>
          <w:rFonts w:ascii="仿宋" w:eastAsia="仿宋"/>
          <w:bCs/>
          <w:sz w:val="32"/>
          <w:szCs w:val="32"/>
        </w:rPr>
        <w:t>18</w:t>
      </w:r>
      <w:r>
        <w:rPr>
          <w:rFonts w:ascii="仿宋" w:eastAsia="仿宋" w:hint="eastAsia"/>
          <w:bCs/>
          <w:sz w:val="32"/>
          <w:szCs w:val="32"/>
        </w:rPr>
        <w:t>日的期间之内。</w:t>
      </w:r>
    </w:p>
    <w:p>
      <w:pPr>
        <w:pStyle w:val="18"/>
        <w:adjustRightInd w:val="0"/>
        <w:snapToGrid w:val="0"/>
        <w:spacing w:line="560" w:lineRule="exact"/>
        <w:ind w:right="93"/>
        <w:rPr>
          <w:rFonts w:ascii="仿宋" w:eastAsia="仿宋" w:hint="eastAsia"/>
          <w:bCs/>
          <w:sz w:val="32"/>
          <w:szCs w:val="32"/>
        </w:rPr>
      </w:pPr>
      <w:r>
        <w:rPr>
          <w:rFonts w:ascii="仿宋" w:eastAsia="仿宋" w:hint="eastAsia"/>
          <w:b/>
          <w:sz w:val="32"/>
          <w:szCs w:val="32"/>
        </w:rPr>
        <w:t xml:space="preserve">    </w:t>
      </w:r>
      <w:r>
        <w:rPr>
          <w:rFonts w:ascii="仿宋" w:eastAsia="仿宋" w:hint="eastAsia"/>
          <w:bCs/>
          <w:sz w:val="32"/>
          <w:szCs w:val="32"/>
        </w:rPr>
        <w:t>2．参评的节目必须完整，节目时间长度为：新闻10分钟以上(一档完整的新闻节目)；专题15分钟以上；综合文体45分钟以上，不超过120分钟；</w:t>
        <w:tab/>
        <w:t>片头类节目30秒至90秒；短片类节目90秒至10分钟。演播室图形设计类节目要求精编15分钟以内</w:t>
      </w:r>
      <w:r>
        <w:rPr>
          <w:rFonts w:ascii="仿宋" w:eastAsia="仿宋"/>
          <w:bCs/>
          <w:sz w:val="32"/>
          <w:szCs w:val="32"/>
        </w:rPr>
        <w:t>。</w:t>
      </w:r>
    </w:p>
    <w:p>
      <w:pPr>
        <w:pStyle w:val="18"/>
        <w:tabs>
          <w:tab w:val="left" w:pos="3420"/>
        </w:tabs>
        <w:adjustRightInd w:val="0"/>
        <w:snapToGrid w:val="0"/>
        <w:spacing w:line="560" w:lineRule="exact"/>
        <w:ind w:right="136" w:firstLineChars="200" w:firstLine="640"/>
        <w:rPr>
          <w:rFonts w:ascii="仿宋" w:eastAsia="仿宋"/>
          <w:bCs/>
          <w:sz w:val="32"/>
          <w:szCs w:val="32"/>
        </w:rPr>
      </w:pPr>
      <w:r>
        <w:rPr>
          <w:rFonts w:ascii="仿宋" w:eastAsia="仿宋" w:hint="eastAsia"/>
          <w:bCs/>
          <w:sz w:val="32"/>
          <w:szCs w:val="32"/>
        </w:rPr>
        <w:t>3．参评高清播出技术质量</w:t>
      </w:r>
      <w:bookmarkStart w:id="0" w:name="_GoBack"/>
      <w:bookmarkEnd w:id="0"/>
      <w:r>
        <w:rPr>
          <w:rFonts w:ascii="仿宋" w:eastAsia="仿宋" w:hint="eastAsia"/>
          <w:bCs/>
          <w:sz w:val="32"/>
          <w:szCs w:val="32"/>
        </w:rPr>
        <w:t>奖的节目载体为数字录像磁带(HDCAM)、专业蓝光盘或PII卡，参评录制技术质量奖的节目载体除以上三种之外还可以为移动硬盘（节目可集中存储在移动硬盘中），申报单位应严格按照有关录制和交换规范中规定的内容依次进行录制，具体规定</w:t>
      </w:r>
      <w:r>
        <w:rPr>
          <w:rFonts w:ascii="仿宋" w:eastAsia="仿宋"/>
          <w:bCs/>
          <w:sz w:val="32"/>
          <w:szCs w:val="32"/>
        </w:rPr>
        <w:t>详</w:t>
      </w:r>
      <w:r>
        <w:rPr>
          <w:rFonts w:ascii="仿宋" w:eastAsia="仿宋" w:hint="eastAsia"/>
          <w:bCs/>
          <w:sz w:val="32"/>
          <w:szCs w:val="32"/>
        </w:rPr>
        <w:t>见</w:t>
      </w:r>
      <w:r>
        <w:rPr>
          <w:rFonts w:ascii="仿宋_GB2312" w:eastAsia="仿宋_GB2312" w:hint="eastAsia"/>
          <w:bCs/>
          <w:sz w:val="32"/>
          <w:szCs w:val="32"/>
        </w:rPr>
        <w:t>《电视节目录制技术质量奖评定办法》</w:t>
      </w:r>
      <w:r>
        <w:rPr>
          <w:rFonts w:ascii="仿宋_GB2312" w:eastAsia="仿宋_GB2312"/>
          <w:bCs/>
          <w:sz w:val="32"/>
          <w:szCs w:val="32"/>
        </w:rPr>
        <w:t>。</w:t>
      </w:r>
    </w:p>
    <w:p>
      <w:pPr>
        <w:pStyle w:val="18"/>
        <w:tabs>
          <w:tab w:val="left" w:pos="3420"/>
        </w:tabs>
        <w:adjustRightInd w:val="0"/>
        <w:snapToGrid w:val="0"/>
        <w:spacing w:line="560" w:lineRule="exact"/>
        <w:ind w:right="136"/>
        <w:rPr>
          <w:rFonts w:ascii="仿宋" w:eastAsia="仿宋"/>
          <w:bCs/>
          <w:sz w:val="32"/>
          <w:szCs w:val="32"/>
        </w:rPr>
      </w:pPr>
    </w:p>
    <w:p>
      <w:pPr>
        <w:pStyle w:val="18"/>
        <w:tabs>
          <w:tab w:val="left" w:pos="3420"/>
        </w:tabs>
        <w:adjustRightInd w:val="0"/>
        <w:snapToGrid w:val="0"/>
        <w:spacing w:line="560" w:lineRule="exact"/>
        <w:ind w:right="136"/>
        <w:rPr>
          <w:rFonts w:ascii="仿宋" w:eastAsia="仿宋"/>
          <w:bCs/>
          <w:sz w:val="32"/>
          <w:szCs w:val="32"/>
        </w:rPr>
      </w:pPr>
    </w:p>
    <w:p>
      <w:pPr>
        <w:pStyle w:val="18"/>
        <w:tabs>
          <w:tab w:val="left" w:pos="3420"/>
        </w:tabs>
        <w:adjustRightInd w:val="0"/>
        <w:snapToGrid w:val="0"/>
        <w:spacing w:line="560" w:lineRule="exact"/>
        <w:ind w:right="136"/>
        <w:rPr>
          <w:rFonts w:ascii="仿宋" w:eastAsia="仿宋"/>
          <w:bCs/>
          <w:sz w:val="32"/>
          <w:szCs w:val="32"/>
        </w:rPr>
      </w:pPr>
    </w:p>
    <w:p>
      <w:pPr>
        <w:jc w:val="left"/>
        <w:rPr>
          <w:rFonts w:ascii="仿宋_GB2312" w:cs="宋体"/>
          <w:b/>
          <w:kern w:val="0"/>
          <w:szCs w:val="32"/>
        </w:rPr>
      </w:pPr>
    </w:p>
    <w:sectPr>
      <w:footerReference w:type="default" r:id="rId2"/>
      <w:footerReference w:type="even" r:id="rId3"/>
      <w:pgSz w:w="11907" w:h="16840"/>
      <w:pgMar w:top="1418" w:right="1701" w:bottom="1418" w:left="1701" w:header="851" w:footer="567" w:gutter="0"/>
      <w:docGrid w:type="lines" w:linePitch="579" w:charSpace="0"/>
    </w:sectPr>
  </w:body>
</w:document>
</file>

<file path=word/fontTable.xml><?xml version="1.0" encoding="utf-8"?>
<w:fonts xmlns:w="http://schemas.openxmlformats.org/wordprocessingml/2006/main" xmlns:r="http://schemas.openxmlformats.org/officeDocument/2006/relationships">
  <w:font w:name="黑体">
    <w:panose1 w:val="02010609060101010101"/>
    <w:charset w:val="86"/>
    <w:family w:val="auto"/>
    <w:pitch w:val="variable"/>
    <w:sig w:usb0="800002BF" w:usb1="38CF7CFA" w:usb2="00000016" w:usb3="00000000" w:csb0="00040001" w:csb1="00000000"/>
  </w:font>
  <w:font w:name="宋体">
    <w:panose1 w:val="02010600030101010101"/>
    <w:charset w:val="86"/>
    <w:family w:val="auto"/>
    <w:pitch w:val="variable"/>
    <w:sig w:usb0="00000003" w:usb1="288F0000" w:usb2="00000006" w:usb3="00000000" w:csb0="00040001" w:csb1="00000000"/>
  </w:font>
  <w:font w:name="Times New Roman">
    <w:altName w:val="DejaVu Sans"/>
    <w:panose1 w:val="02020603050405020304"/>
    <w:charset w:val="00"/>
    <w:family w:val="roman"/>
    <w:pitch w:val="variable"/>
    <w:sig w:usb0="20007A87" w:usb1="80000000" w:usb2="00000008" w:usb3="00000000" w:csb0="000001FF" w:csb1="00000000"/>
  </w:font>
  <w:font w:name="仿宋">
    <w:panose1 w:val="02010609060101010101"/>
    <w:charset w:val="86"/>
    <w:family w:val="auto"/>
    <w:pitch w:val="variable"/>
    <w:sig w:usb0="800002BF" w:usb1="38CF7CFA" w:usb2="00000016" w:usb3="00000000" w:csb0="00040001" w:csb1="00000000"/>
  </w:font>
  <w:font w:name="仿宋_GB2312">
    <w:altName w:val="仿宋"/>
    <w:panose1 w:val="02010609030101010101"/>
    <w:charset w:val="86"/>
    <w:family w:val="modern"/>
    <w:pitch w:val="variable"/>
    <w:sig w:usb0="00000000" w:usb1="00000000" w:usb2="00000010" w:usb3="00000000" w:csb0="00040000" w:csb1="00000000"/>
  </w:font>
  <w:font w:name="Luxi Sans">
    <w:altName w:val="DejaVu Sans"/>
    <w:panose1 w:val="00000000000000000000"/>
    <w:charset w:val="00"/>
    <w:family w:val="auto"/>
    <w:pitch w:val="variable"/>
    <w:sig w:usb0="00000000" w:usb1="00000000" w:usb2="00000000" w:usb3="00000000" w:csb0="00000000" w:csb1="00000000"/>
  </w:font>
  <w:font w:name="Cambria">
    <w:altName w:val="DejaVu Sans"/>
    <w:panose1 w:val="02040503050406030204"/>
    <w:charset w:val="00"/>
    <w:family w:val="roman"/>
    <w:pitch w:val="variable"/>
    <w:sig w:usb0="E00002FF" w:usb1="400004FF" w:usb2="00000000" w:usb3="00000000" w:csb0="2000019F" w:csb1="00000000"/>
  </w:font>
  <w:font w:name="Calibri">
    <w:altName w:val="DejaVu Sans"/>
    <w:panose1 w:val="00000000000000000000"/>
    <w:charset w:val="00"/>
    <w:family w:val="auto"/>
    <w:pitch w:val="variable"/>
    <w:sig w:usb0="00000000" w:usb1="00000000" w:usb2="00000000" w:usb3="00000000" w:csb0="0000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1"/>
      <w:tabs>
        <w:tab w:val="center" w:pos="4153"/>
        <w:tab w:val="right" w:pos="8306"/>
      </w:tabs>
      <w:jc w:val="center"/>
    </w:pPr>
  </w:p>
  <w:p>
    <w:pPr>
      <w:pStyle w:val="21"/>
      <w:tabs>
        <w:tab w:val="center" w:pos="4153"/>
        <w:tab w:val="right" w:pos="8306"/>
      </w:tabs>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1"/>
      <w:tabs>
        <w:tab w:val="center" w:pos="4153"/>
        <w:tab w:val="right" w:pos="8306"/>
      </w:tabs>
      <w:jc w:val="center"/>
      <w:rPr>
        <w:sz w:val="24"/>
        <w:szCs w:val="24"/>
      </w:rPr>
    </w:pPr>
  </w:p>
  <w:p>
    <w:pPr>
      <w:pStyle w:val="21"/>
      <w:tabs>
        <w:tab w:val="center" w:pos="4153"/>
        <w:tab w:val="right" w:pos="8306"/>
      </w:tabs>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10"/>
  <w:bordersDoNotSurroundHeader/>
  <w:bordersDoNotSurroundFooter/>
  <w:documentProtection w:edit="readOnly" w:enforcement="0"/>
  <w:defaultTabStop w:val="420"/>
  <w:evenAndOddHeaders/>
  <w:drawingGridHorizontalSpacing w:val="105"/>
  <w:drawingGridVerticalSpacing w:val="579"/>
  <w:displayHorizontalDrawingGridEvery w:val="0"/>
  <w:displayVerticalDrawingGridEvery w:val="1"/>
  <w:characterSpacingControl w:val="compressPunctuation"/>
  <w:noLineBreaksAfter w:lang="zh-CN" w:val="$([{£¥·‘“〈《「『【〔〖〝﹙﹛﹝＄（．［｛￡￥"/>
  <w:noLineBreaksBefore w:lang="zh-CN" w:val="!%),.:;&gt;?]}¢¨°·ˇˉ―‖’”…‰′″›℃∶、。〃〉》」』】〕〗〞︶︺︾﹀﹄﹚﹜﹞！＂％＇），．：；？］｀｜｝～￠"/>
  <w:compat>
    <w:spaceForUL/>
    <w:balanceSingleByteDoubleByteWidth/>
    <w:ulTrailSpace/>
    <w:doNotExpandShiftReturn/>
    <w:doNotUseIndentAsNumberingTabStop/>
    <w:useAltKinsokuLineBreakRules/>
    <w:splitPgBreakAndParaMark/>
    <w:compatSetting w:name="compatibilityMode" w:uri="http://schemas.microsoft.com/office/word" w:val="12"/>
  </w:compat>
  <w:docVars>
    <w:docVar w:name="commondata" w:val="eyJoZGlkIjoiYTMxMTM2ZTIyYWM3ZWVhNjFhM2U4YzBjMDAwYmFjOTAifQ=="/>
    <w:docVar w:name="LJLSeal" w:val="ljl"/>
    <w:docVar w:name="TemplateName" w:val="????¡¤???.doc"/>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仿宋_GB2312" w:cs="Times New Roman" w:hAnsi="Times New Roman"/>
      <w:kern w:val="2"/>
      <w:sz w:val="32"/>
      <w:szCs w:val="24"/>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keepNext/>
      <w:keepLines/>
      <w:widowControl w:val="0"/>
      <w:spacing w:before="260" w:after="260" w:line="415" w:lineRule="auto"/>
      <w:outlineLvl w:val="1"/>
    </w:pPr>
    <w:rPr>
      <w:rFonts w:ascii="Luxi Sans" w:eastAsia="黑体" w:hAnsi="Luxi Sans"/>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styleId="15">
    <w:name w:val="Document Map"/>
    <w:basedOn w:val="0"/>
    <w:pPr>
      <w:shd w:val="clear" w:color="auto" w:fill="000080"/>
    </w:pPr>
  </w:style>
  <w:style w:type="paragraph" w:styleId="16">
    <w:name w:val="Body Text"/>
    <w:basedOn w:val="0"/>
    <w:pPr>
      <w:jc w:val="center"/>
    </w:pPr>
    <w:rPr>
      <w:rFonts w:eastAsia="宋体"/>
      <w:b/>
      <w:color w:val="FF0000"/>
      <w:sz w:val="110"/>
    </w:rPr>
  </w:style>
  <w:style w:type="paragraph" w:styleId="17">
    <w:name w:val="Body Text Indent"/>
    <w:basedOn w:val="0"/>
    <w:pPr>
      <w:ind w:rightChars="77" w:right="77" w:firstLineChars="200" w:firstLine="200"/>
    </w:pPr>
  </w:style>
  <w:style w:type="paragraph" w:styleId="18">
    <w:name w:val="Plain Text"/>
    <w:basedOn w:val="0"/>
    <w:rPr>
      <w:rFonts w:ascii="宋体" w:eastAsia="宋体"/>
      <w:sz w:val="21"/>
      <w:szCs w:val="20"/>
    </w:rPr>
  </w:style>
  <w:style w:type="paragraph" w:styleId="19">
    <w:name w:val="Date"/>
    <w:basedOn w:val="0"/>
    <w:next w:val="0"/>
    <w:rPr>
      <w:rFonts w:ascii="仿宋_GB2312"/>
    </w:rPr>
  </w:style>
  <w:style w:type="paragraph" w:styleId="20">
    <w:name w:val="Balloon Text"/>
    <w:basedOn w:val="0"/>
    <w:rPr>
      <w:sz w:val="18"/>
      <w:szCs w:val="18"/>
    </w:rPr>
  </w:style>
  <w:style w:type="paragraph" w:styleId="21">
    <w:name w:val="footer"/>
    <w:basedOn w:val="0"/>
    <w:pPr>
      <w:tabs>
        <w:tab w:val="center" w:pos="4153"/>
        <w:tab w:val="right" w:pos="8306"/>
      </w:tabs>
      <w:snapToGrid w:val="0"/>
      <w:jc w:val="left"/>
    </w:pPr>
    <w:rPr>
      <w:sz w:val="18"/>
      <w:szCs w:val="18"/>
    </w:rPr>
  </w:style>
  <w:style w:type="paragraph" w:styleId="22">
    <w:name w:val="header"/>
    <w:basedOn w:val="0"/>
    <w:pPr>
      <w:pBdr>
        <w:bottom w:val="single" w:sz="6" w:space="1" w:color="auto"/>
      </w:pBdr>
      <w:tabs>
        <w:tab w:val="center" w:pos="4153"/>
        <w:tab w:val="right" w:pos="8306"/>
      </w:tabs>
      <w:snapToGrid w:val="0"/>
      <w:jc w:val="center"/>
    </w:pPr>
    <w:rPr>
      <w:sz w:val="18"/>
      <w:szCs w:val="18"/>
    </w:rPr>
  </w:style>
  <w:style w:type="paragraph" w:styleId="23">
    <w:name w:val="Title"/>
    <w:basedOn w:val="0"/>
    <w:next w:val="0"/>
    <w:pPr>
      <w:spacing w:before="240" w:after="60"/>
      <w:jc w:val="center"/>
      <w:outlineLvl w:val="0"/>
    </w:pPr>
    <w:rPr>
      <w:rFonts w:ascii="Cambria" w:eastAsia="宋体" w:cs="Times New Roman" w:hAnsi="Cambria"/>
      <w:b/>
      <w:bCs/>
      <w:szCs w:val="32"/>
    </w:rPr>
  </w:style>
  <w:style w:type="character" w:styleId="24">
    <w:name w:val="page number"/>
    <w:rPr>
      <w:rFonts w:cs="Times New Roman"/>
    </w:rPr>
  </w:style>
  <w:style w:type="character" w:styleId="25">
    <w:name w:val="Hyperlink"/>
    <w:rPr>
      <w:rFonts w:cs="Times New Roman"/>
      <w:color w:val="0000FF"/>
      <w:u w:val="single"/>
    </w:rPr>
  </w:style>
  <w:style w:type="character" w:customStyle="1" w:styleId="26">
    <w:name w:val="访问过的超链接1"/>
    <w:rPr>
      <w:color w:val="800080"/>
      <w:u w:val="single"/>
    </w:rPr>
  </w:style>
  <w:style w:type="paragraph" w:styleId="27">
    <w:name w:val="annotation text"/>
    <w:next w:val="19"/>
    <w:pPr>
      <w:widowControl w:val="0"/>
      <w:jc w:val="left"/>
    </w:pPr>
    <w:rPr>
      <w:rFonts w:ascii="Calibri" w:eastAsia="宋体" w:cs="Times New Roman" w:hAnsi="Calibri"/>
      <w:kern w:val="2"/>
      <w:sz w:val="21"/>
      <w:szCs w:val="24"/>
      <w:lang w:val="en-US" w:eastAsia="zh-CN" w:bidi="ar-SA"/>
    </w:rPr>
  </w:style>
  <w:style w:type="paragraph" w:styleId="28">
    <w:name w:val="annotation subject"/>
    <w:next w:val="19"/>
    <w:pPr>
      <w:widowControl w:val="0"/>
      <w:jc w:val="left"/>
    </w:pPr>
    <w:rPr>
      <w:rFonts w:ascii="Calibri" w:eastAsia="宋体" w:cs="Times New Roman" w:hAnsi="Calibri"/>
      <w:b/>
      <w:kern w:val="2"/>
      <w:sz w:val="21"/>
      <w:szCs w:val="24"/>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534</TotalTime>
  <Application>Yozo_Office27021597764231179</Application>
  <Pages>1</Pages>
  <Words>306</Words>
  <Characters>327</Characters>
  <Lines>18</Lines>
  <Paragraphs>5</Paragraphs>
  <CharactersWithSpaces>333</CharactersWithSpaces>
  <Company>RJSOFT</Company>
</Properties>
</file>

<file path=docProps/core.xml><?xml version="1.0" encoding="utf-8"?>
<cp:coreProperties xmlns:cp="http://schemas.openxmlformats.org/package/2006/metadata/core-properties" xmlns:dc="http://purl.org/dc/elements/1.1/" xmlns:dcterms="http://purl.org/dc/terms/" xmlns:xsi="http://www.w3.org/2001/XMLSchema-instance">
  <dc:title>正文文件</dc:title>
  <dc:creator>RJeGov</dc:creator>
  <cp:lastModifiedBy>GBDSJ</cp:lastModifiedBy>
  <cp:revision>85</cp:revision>
  <cp:lastPrinted>2021-06-01T02:50:00Z</cp:lastPrinted>
  <dcterms:created xsi:type="dcterms:W3CDTF">2020-08-19T08:22:00Z</dcterms:created>
  <dcterms:modified xsi:type="dcterms:W3CDTF">2024-05-15T00:50:28Z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2052-11.1.0.11875</vt:lpwstr>
  </property>
  <property fmtid="{D5CDD505-2E9C-101B-9397-08002B2CF9AE}" pid="3" name="ICV">
    <vt:lpwstr>32438E361B4143E3824FD3FA371F043C</vt:lpwstr>
  </property>
</Properties>
</file>