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2AA7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黑体" w:cs="黑体"/>
          <w:sz w:val="32"/>
          <w:szCs w:val="32"/>
          <w:lang w:val="en-US" w:eastAsia="zh-CN"/>
        </w:rPr>
      </w:pPr>
      <w:r>
        <w:rPr>
          <w:rFonts w:hint="eastAsia" w:ascii="Times New Roman" w:hAnsi="Times New Roman" w:eastAsia="黑体" w:cs="仿宋_GB2312"/>
          <w:color w:val="auto"/>
          <w:kern w:val="0"/>
          <w:sz w:val="44"/>
          <w:szCs w:val="44"/>
          <w:lang w:val="en-US" w:eastAsia="zh-CN" w:bidi="ar-SA"/>
        </w:rPr>
        <w:t xml:space="preserve"> </w:t>
      </w:r>
      <w:r>
        <w:rPr>
          <w:rFonts w:hint="eastAsia" w:ascii="Times New Roman" w:hAnsi="Times New Roman" w:eastAsia="黑体" w:cs="黑体"/>
          <w:sz w:val="32"/>
          <w:szCs w:val="32"/>
          <w:lang w:val="en-US" w:eastAsia="zh-CN"/>
        </w:rPr>
        <w:t>附件1</w:t>
      </w:r>
    </w:p>
    <w:p w14:paraId="2C442A7A">
      <w:pPr>
        <w:keepNext w:val="0"/>
        <w:keepLines w:val="0"/>
        <w:pageBreakBefore w:val="0"/>
        <w:widowControl w:val="0"/>
        <w:kinsoku/>
        <w:wordWrap/>
        <w:overflowPunct/>
        <w:topLinePunct w:val="0"/>
        <w:autoSpaceDE w:val="0"/>
        <w:autoSpaceDN w:val="0"/>
        <w:bidi w:val="0"/>
        <w:adjustRightInd w:val="0"/>
        <w:snapToGrid w:val="0"/>
        <w:spacing w:line="600" w:lineRule="exact"/>
        <w:ind w:firstLine="567"/>
        <w:jc w:val="center"/>
        <w:textAlignment w:val="auto"/>
        <w:rPr>
          <w:rFonts w:ascii="Times New Roman" w:hAnsi="Times New Roman" w:eastAsia="方正小标宋简体" w:cs="方正小标宋简体"/>
          <w:b w:val="0"/>
          <w:bCs/>
          <w:kern w:val="0"/>
          <w:sz w:val="44"/>
          <w:szCs w:val="44"/>
        </w:rPr>
      </w:pPr>
    </w:p>
    <w:p w14:paraId="194BA01C">
      <w:pPr>
        <w:keepNext w:val="0"/>
        <w:keepLines w:val="0"/>
        <w:pageBreakBefore w:val="0"/>
        <w:widowControl w:val="0"/>
        <w:kinsoku/>
        <w:wordWrap/>
        <w:overflowPunct/>
        <w:topLinePunct w:val="0"/>
        <w:autoSpaceDE w:val="0"/>
        <w:autoSpaceDN w:val="0"/>
        <w:bidi w:val="0"/>
        <w:adjustRightInd w:val="0"/>
        <w:snapToGrid w:val="0"/>
        <w:spacing w:after="400" w:line="600" w:lineRule="exact"/>
        <w:ind w:left="0"/>
        <w:jc w:val="center"/>
        <w:textAlignment w:val="auto"/>
        <w:rPr>
          <w:rFonts w:hint="eastAsia" w:ascii="Times New Roman" w:hAnsi="Times New Roman" w:eastAsia="方正小标宋简体" w:cs="方正小标宋简体"/>
          <w:b w:val="0"/>
          <w:bCs/>
          <w:kern w:val="0"/>
          <w:sz w:val="44"/>
          <w:szCs w:val="44"/>
        </w:rPr>
      </w:pPr>
      <w:r>
        <w:rPr>
          <w:rFonts w:ascii="Times New Roman" w:hAnsi="Times New Roman" w:eastAsia="方正小标宋简体" w:cs="方正小标宋简体"/>
          <w:b w:val="0"/>
          <w:bCs/>
          <w:kern w:val="0"/>
          <w:sz w:val="44"/>
          <w:szCs w:val="44"/>
        </w:rPr>
        <w:t>申报</w:t>
      </w:r>
      <w:r>
        <w:rPr>
          <w:rFonts w:hint="eastAsia" w:ascii="Times New Roman" w:hAnsi="Times New Roman" w:eastAsia="方正小标宋简体" w:cs="方正小标宋简体"/>
          <w:b w:val="0"/>
          <w:bCs/>
          <w:kern w:val="0"/>
          <w:sz w:val="44"/>
          <w:szCs w:val="44"/>
        </w:rPr>
        <w:t>材料（报名）要求</w:t>
      </w:r>
    </w:p>
    <w:p w14:paraId="3852BB2D">
      <w:pPr>
        <w:autoSpaceDE w:val="0"/>
        <w:autoSpaceDN w:val="0"/>
        <w:adjustRightInd w:val="0"/>
        <w:snapToGrid w:val="0"/>
        <w:spacing w:line="560" w:lineRule="exact"/>
        <w:ind w:firstLine="567"/>
        <w:rPr>
          <w:rFonts w:hint="eastAsia" w:ascii="Times New Roman" w:hAnsi="Times New Roman" w:eastAsia="仿宋_GB2312" w:cs="仿宋_GB2312"/>
          <w:spacing w:val="2"/>
          <w:kern w:val="0"/>
          <w:sz w:val="32"/>
          <w:szCs w:val="32"/>
        </w:rPr>
      </w:pPr>
      <w:r>
        <w:rPr>
          <w:rFonts w:ascii="Times New Roman" w:hAnsi="Times New Roman" w:eastAsia="仿宋_GB2312" w:cs="仿宋_GB2312"/>
          <w:spacing w:val="2"/>
          <w:kern w:val="0"/>
          <w:sz w:val="32"/>
          <w:szCs w:val="32"/>
        </w:rPr>
        <w:t>申报</w:t>
      </w:r>
      <w:r>
        <w:rPr>
          <w:rFonts w:hint="eastAsia" w:ascii="Times New Roman" w:hAnsi="Times New Roman" w:eastAsia="仿宋_GB2312" w:cs="仿宋_GB2312"/>
          <w:spacing w:val="2"/>
          <w:kern w:val="0"/>
          <w:sz w:val="32"/>
          <w:szCs w:val="32"/>
        </w:rPr>
        <w:t>材料由主卷和副卷两部分组成，统一装入</w:t>
      </w:r>
      <w:r>
        <w:rPr>
          <w:rFonts w:ascii="Times New Roman" w:hAnsi="Times New Roman" w:eastAsia="仿宋_GB2312" w:cs="仿宋_GB2312"/>
          <w:spacing w:val="2"/>
          <w:kern w:val="0"/>
          <w:sz w:val="32"/>
          <w:szCs w:val="32"/>
        </w:rPr>
        <w:t>申报</w:t>
      </w:r>
      <w:r>
        <w:rPr>
          <w:rFonts w:hint="eastAsia" w:ascii="Times New Roman" w:hAnsi="Times New Roman" w:eastAsia="仿宋_GB2312" w:cs="仿宋_GB2312"/>
          <w:spacing w:val="2"/>
          <w:kern w:val="0"/>
          <w:sz w:val="32"/>
          <w:szCs w:val="32"/>
        </w:rPr>
        <w:t>材料卷袋。各单位须统一材料卷袋，并在材料袋上注明姓名、单位、申报专业技术资格、类别。主卷材料的装订顺序要求见</w:t>
      </w:r>
      <w:r>
        <w:rPr>
          <w:rFonts w:hint="eastAsia" w:ascii="Times New Roman" w:hAnsi="Times New Roman" w:eastAsia="仿宋_GB2312" w:cs="仿宋_GB2312"/>
          <w:spacing w:val="2"/>
          <w:kern w:val="0"/>
          <w:sz w:val="32"/>
          <w:szCs w:val="32"/>
          <w:lang w:eastAsia="zh-CN"/>
        </w:rPr>
        <w:t>下页表格</w:t>
      </w:r>
      <w:r>
        <w:rPr>
          <w:rFonts w:hint="eastAsia" w:ascii="Times New Roman" w:hAnsi="Times New Roman" w:eastAsia="仿宋_GB2312" w:cs="仿宋_GB2312"/>
          <w:spacing w:val="2"/>
          <w:kern w:val="0"/>
          <w:sz w:val="32"/>
          <w:szCs w:val="32"/>
        </w:rPr>
        <w:t>，副卷由申报材料原件组成。主、副卷内容、顺序应完全一致。主卷中，每张复印件均需加盖单位人事部门公章，各种申报表格论文和获奖作品等填写内容与复印件内容和顺序应完全一致，如内容较多，可增加附页。主卷内容的组织和装订须整洁、清晰。主卷的卷袋要按要求填写好个人信息。对于不能按要求组织材料的不予收卷。具体要求如下：</w:t>
      </w:r>
    </w:p>
    <w:p w14:paraId="471318F1">
      <w:pPr>
        <w:autoSpaceDE w:val="0"/>
        <w:autoSpaceDN w:val="0"/>
        <w:adjustRightInd w:val="0"/>
        <w:snapToGrid w:val="0"/>
        <w:spacing w:line="560" w:lineRule="exact"/>
        <w:ind w:firstLine="648" w:firstLineChars="200"/>
        <w:rPr>
          <w:rFonts w:hint="eastAsia" w:ascii="Times New Roman" w:hAnsi="Times New Roman" w:eastAsia="仿宋_GB2312" w:cs="仿宋_GB2312"/>
          <w:spacing w:val="2"/>
          <w:kern w:val="0"/>
          <w:sz w:val="32"/>
          <w:szCs w:val="32"/>
        </w:rPr>
      </w:pPr>
      <w:r>
        <w:rPr>
          <w:rFonts w:ascii="Times New Roman" w:hAnsi="Times New Roman" w:eastAsia="仿宋_GB2312" w:cs="Times New Roman"/>
          <w:spacing w:val="2"/>
          <w:kern w:val="0"/>
          <w:sz w:val="32"/>
          <w:szCs w:val="32"/>
        </w:rPr>
        <w:t>1.</w:t>
      </w:r>
      <w:r>
        <w:rPr>
          <w:rFonts w:hint="eastAsia" w:ascii="Times New Roman" w:hAnsi="Times New Roman" w:eastAsia="仿宋_GB2312" w:cs="仿宋_GB2312"/>
          <w:spacing w:val="2"/>
          <w:kern w:val="0"/>
          <w:sz w:val="32"/>
          <w:szCs w:val="32"/>
        </w:rPr>
        <w:t>《辽宁省专业技术资格报评推荐表》一式20份（原件1份装订，复印件19份不装订），编号由评委会办公室统一编写。</w:t>
      </w:r>
    </w:p>
    <w:p w14:paraId="305F51E0">
      <w:pPr>
        <w:autoSpaceDE w:val="0"/>
        <w:autoSpaceDN w:val="0"/>
        <w:adjustRightInd w:val="0"/>
        <w:snapToGrid w:val="0"/>
        <w:spacing w:line="560" w:lineRule="exact"/>
        <w:ind w:firstLine="648" w:firstLineChars="200"/>
        <w:jc w:val="left"/>
        <w:rPr>
          <w:rFonts w:hint="eastAsia" w:ascii="Times New Roman" w:hAnsi="Times New Roman" w:eastAsia="仿宋_GB2312" w:cs="仿宋_GB2312"/>
          <w:spacing w:val="2"/>
          <w:kern w:val="0"/>
          <w:sz w:val="32"/>
          <w:szCs w:val="32"/>
        </w:rPr>
      </w:pPr>
      <w:r>
        <w:rPr>
          <w:rFonts w:hint="eastAsia" w:ascii="Times New Roman" w:hAnsi="Times New Roman" w:eastAsia="仿宋_GB2312" w:cs="Times New Roman"/>
          <w:spacing w:val="2"/>
          <w:kern w:val="0"/>
          <w:sz w:val="32"/>
          <w:szCs w:val="32"/>
        </w:rPr>
        <w:t>2.</w:t>
      </w:r>
      <w:r>
        <w:rPr>
          <w:rFonts w:hint="eastAsia" w:ascii="Times New Roman" w:hAnsi="Times New Roman" w:eastAsia="仿宋_GB2312" w:cs="仿宋_GB2312"/>
          <w:spacing w:val="2"/>
          <w:kern w:val="0"/>
          <w:sz w:val="32"/>
          <w:szCs w:val="32"/>
        </w:rPr>
        <w:t>《单位综合推荐意见》1份（装订）。破格晋升人员的推荐意见应具体说明报评人员符合破格条件中的哪几条标准，并填写《辽宁省破格评定人员审核表》（附件4）一式3份（装订1份）。</w:t>
      </w:r>
    </w:p>
    <w:p w14:paraId="1FC74DB3">
      <w:pPr>
        <w:autoSpaceDE w:val="0"/>
        <w:autoSpaceDN w:val="0"/>
        <w:adjustRightInd w:val="0"/>
        <w:snapToGrid w:val="0"/>
        <w:spacing w:line="560" w:lineRule="exact"/>
        <w:ind w:firstLine="648" w:firstLineChars="200"/>
        <w:jc w:val="left"/>
        <w:rPr>
          <w:rFonts w:hint="eastAsia" w:ascii="Times New Roman" w:hAnsi="Times New Roman" w:eastAsia="仿宋_GB2312" w:cs="仿宋_GB2312"/>
          <w:spacing w:val="2"/>
          <w:kern w:val="0"/>
          <w:sz w:val="32"/>
          <w:szCs w:val="32"/>
        </w:rPr>
      </w:pPr>
      <w:r>
        <w:rPr>
          <w:rFonts w:hint="eastAsia" w:ascii="Times New Roman" w:hAnsi="Times New Roman" w:eastAsia="仿宋_GB2312" w:cs="Times New Roman"/>
          <w:spacing w:val="2"/>
          <w:kern w:val="0"/>
          <w:sz w:val="32"/>
          <w:szCs w:val="32"/>
        </w:rPr>
        <w:t>3.</w:t>
      </w:r>
      <w:r>
        <w:rPr>
          <w:rFonts w:hint="eastAsia" w:ascii="Times New Roman" w:hAnsi="Times New Roman" w:eastAsia="仿宋_GB2312" w:cs="仿宋_GB2312"/>
          <w:spacing w:val="2"/>
          <w:kern w:val="0"/>
          <w:sz w:val="32"/>
          <w:szCs w:val="32"/>
        </w:rPr>
        <w:t>《业务自传》1份（装订）。《业务自传》应按评审条件或破格条件的要求，如实反映本人任现职以来取得的业绩成果、达到的水平程度等。</w:t>
      </w:r>
    </w:p>
    <w:p w14:paraId="1EC72A8C">
      <w:pPr>
        <w:autoSpaceDE w:val="0"/>
        <w:autoSpaceDN w:val="0"/>
        <w:adjustRightInd w:val="0"/>
        <w:snapToGrid w:val="0"/>
        <w:spacing w:line="560" w:lineRule="exact"/>
        <w:ind w:firstLine="648" w:firstLineChars="200"/>
        <w:jc w:val="left"/>
        <w:rPr>
          <w:rFonts w:hint="eastAsia" w:ascii="Times New Roman" w:hAnsi="Times New Roman" w:eastAsia="仿宋_GB2312" w:cs="仿宋_GB2312"/>
          <w:spacing w:val="2"/>
          <w:kern w:val="0"/>
          <w:sz w:val="32"/>
          <w:szCs w:val="32"/>
        </w:rPr>
      </w:pPr>
      <w:r>
        <w:rPr>
          <w:rFonts w:hint="eastAsia" w:ascii="Times New Roman" w:hAnsi="Times New Roman" w:eastAsia="仿宋_GB2312" w:cs="Times New Roman"/>
          <w:spacing w:val="2"/>
          <w:kern w:val="0"/>
          <w:sz w:val="32"/>
          <w:szCs w:val="32"/>
        </w:rPr>
        <w:t>4.</w:t>
      </w:r>
      <w:r>
        <w:rPr>
          <w:rFonts w:hint="eastAsia" w:ascii="Times New Roman" w:hAnsi="Times New Roman" w:eastAsia="仿宋_GB2312" w:cs="仿宋_GB2312"/>
          <w:spacing w:val="2"/>
          <w:kern w:val="0"/>
          <w:sz w:val="32"/>
          <w:szCs w:val="32"/>
        </w:rPr>
        <w:t>近三年专业技术人员考核评价表（复印件装订，原件装入副卷）。（由所在单位提供）</w:t>
      </w:r>
    </w:p>
    <w:p w14:paraId="282B8DED">
      <w:pPr>
        <w:autoSpaceDE w:val="0"/>
        <w:autoSpaceDN w:val="0"/>
        <w:adjustRightInd w:val="0"/>
        <w:snapToGrid w:val="0"/>
        <w:spacing w:line="560" w:lineRule="exact"/>
        <w:ind w:firstLine="648" w:firstLineChars="200"/>
        <w:jc w:val="left"/>
        <w:rPr>
          <w:rFonts w:hint="eastAsia" w:ascii="Times New Roman" w:hAnsi="Times New Roman" w:eastAsia="仿宋_GB2312" w:cs="仿宋_GB2312"/>
          <w:spacing w:val="2"/>
          <w:kern w:val="0"/>
          <w:sz w:val="32"/>
          <w:szCs w:val="32"/>
        </w:rPr>
      </w:pPr>
      <w:r>
        <w:rPr>
          <w:rFonts w:hint="eastAsia" w:ascii="Times New Roman" w:hAnsi="Times New Roman" w:eastAsia="仿宋_GB2312" w:cs="Times New Roman"/>
          <w:spacing w:val="2"/>
          <w:kern w:val="0"/>
          <w:sz w:val="32"/>
          <w:szCs w:val="32"/>
        </w:rPr>
        <w:t>5.</w:t>
      </w:r>
      <w:r>
        <w:rPr>
          <w:rFonts w:hint="eastAsia" w:ascii="Times New Roman" w:hAnsi="Times New Roman" w:eastAsia="仿宋_GB2312" w:cs="仿宋_GB2312"/>
          <w:spacing w:val="2"/>
          <w:kern w:val="0"/>
          <w:sz w:val="32"/>
          <w:szCs w:val="32"/>
        </w:rPr>
        <w:t>岗位培训合格证书、继续教育学时证明等原件装入副卷，复印件均需装订入主卷。</w:t>
      </w:r>
    </w:p>
    <w:p w14:paraId="0F6296E4">
      <w:pPr>
        <w:autoSpaceDE w:val="0"/>
        <w:autoSpaceDN w:val="0"/>
        <w:adjustRightInd w:val="0"/>
        <w:snapToGrid w:val="0"/>
        <w:spacing w:line="560" w:lineRule="exact"/>
        <w:ind w:firstLine="648" w:firstLineChars="200"/>
        <w:jc w:val="left"/>
        <w:rPr>
          <w:rFonts w:hint="eastAsia" w:ascii="Times New Roman" w:hAnsi="Times New Roman" w:eastAsia="仿宋_GB2312" w:cs="仿宋_GB2312"/>
          <w:spacing w:val="2"/>
          <w:kern w:val="0"/>
          <w:sz w:val="32"/>
          <w:szCs w:val="32"/>
        </w:rPr>
      </w:pPr>
      <w:r>
        <w:rPr>
          <w:rFonts w:hint="eastAsia" w:ascii="Times New Roman" w:hAnsi="Times New Roman" w:eastAsia="仿宋_GB2312" w:cs="Times New Roman"/>
          <w:spacing w:val="2"/>
          <w:kern w:val="0"/>
          <w:sz w:val="32"/>
          <w:szCs w:val="32"/>
        </w:rPr>
        <w:t>6.</w:t>
      </w:r>
      <w:r>
        <w:rPr>
          <w:rFonts w:hint="eastAsia" w:ascii="Times New Roman" w:hAnsi="Times New Roman" w:eastAsia="仿宋_GB2312" w:cs="仿宋_GB2312"/>
          <w:spacing w:val="2"/>
          <w:kern w:val="0"/>
          <w:sz w:val="32"/>
          <w:szCs w:val="32"/>
        </w:rPr>
        <w:t>能反映和代表报评人员学识水平和业绩的论文、著作、译著、获奖证书及作品等按评审条件的要求提供,复印件装订入主卷，原件装入副卷</w:t>
      </w:r>
      <w:r>
        <w:rPr>
          <w:rFonts w:hint="eastAsia" w:ascii="Times New Roman" w:hAnsi="Times New Roman" w:eastAsia="仿宋_GB2312" w:cs="仿宋_GB2312"/>
          <w:spacing w:val="2"/>
          <w:kern w:val="0"/>
          <w:sz w:val="32"/>
          <w:szCs w:val="32"/>
          <w:lang w:eastAsia="zh-CN"/>
        </w:rPr>
        <w:t>，</w:t>
      </w:r>
      <w:r>
        <w:rPr>
          <w:rFonts w:hint="eastAsia" w:ascii="Times New Roman" w:hAnsi="Times New Roman" w:eastAsia="仿宋_GB2312" w:cs="仿宋_GB2312"/>
          <w:spacing w:val="2"/>
          <w:kern w:val="0"/>
          <w:sz w:val="32"/>
          <w:szCs w:val="32"/>
          <w:lang w:val="en-US" w:eastAsia="zh-CN"/>
        </w:rPr>
        <w:t>如多人共用获奖证书，副卷中也需放入复印件</w:t>
      </w:r>
      <w:r>
        <w:rPr>
          <w:rFonts w:hint="eastAsia" w:ascii="Times New Roman" w:hAnsi="Times New Roman" w:eastAsia="仿宋_GB2312" w:cs="仿宋_GB2312"/>
          <w:spacing w:val="2"/>
          <w:kern w:val="0"/>
          <w:sz w:val="32"/>
          <w:szCs w:val="32"/>
        </w:rPr>
        <w:t>。</w:t>
      </w:r>
    </w:p>
    <w:p w14:paraId="121BE03B">
      <w:pPr>
        <w:autoSpaceDE w:val="0"/>
        <w:autoSpaceDN w:val="0"/>
        <w:adjustRightInd w:val="0"/>
        <w:snapToGrid w:val="0"/>
        <w:spacing w:line="560" w:lineRule="exact"/>
        <w:ind w:firstLine="648" w:firstLineChars="200"/>
        <w:jc w:val="left"/>
        <w:rPr>
          <w:rFonts w:hint="eastAsia" w:ascii="Times New Roman" w:hAnsi="Times New Roman" w:eastAsia="仿宋_GB2312" w:cs="仿宋_GB2312"/>
          <w:spacing w:val="2"/>
          <w:kern w:val="0"/>
          <w:sz w:val="32"/>
          <w:szCs w:val="32"/>
        </w:rPr>
      </w:pPr>
      <w:r>
        <w:rPr>
          <w:rFonts w:hint="eastAsia" w:ascii="Times New Roman" w:hAnsi="Times New Roman" w:eastAsia="仿宋_GB2312" w:cs="Times New Roman"/>
          <w:spacing w:val="2"/>
          <w:kern w:val="0"/>
          <w:sz w:val="32"/>
          <w:szCs w:val="32"/>
        </w:rPr>
        <w:t>7.</w:t>
      </w:r>
      <w:r>
        <w:rPr>
          <w:rFonts w:hint="eastAsia" w:ascii="Times New Roman" w:hAnsi="Times New Roman" w:eastAsia="仿宋_GB2312" w:cs="仿宋_GB2312"/>
          <w:spacing w:val="2"/>
          <w:kern w:val="0"/>
          <w:sz w:val="32"/>
          <w:szCs w:val="32"/>
        </w:rPr>
        <w:t>报评人员所在单位填写《辽宁省报评广播电视系统专业资格审核表》（附件</w:t>
      </w:r>
      <w:r>
        <w:rPr>
          <w:rFonts w:hint="eastAsia" w:ascii="Times New Roman" w:hAnsi="Times New Roman" w:eastAsia="仿宋_GB2312" w:cs="仿宋_GB2312"/>
          <w:spacing w:val="2"/>
          <w:kern w:val="0"/>
          <w:sz w:val="32"/>
          <w:szCs w:val="32"/>
          <w:lang w:val="en-US" w:eastAsia="zh-CN"/>
        </w:rPr>
        <w:t>2</w:t>
      </w:r>
      <w:r>
        <w:rPr>
          <w:rFonts w:hint="eastAsia" w:ascii="Times New Roman" w:hAnsi="Times New Roman" w:eastAsia="仿宋_GB2312" w:cs="仿宋_GB2312"/>
          <w:spacing w:val="2"/>
          <w:kern w:val="0"/>
          <w:sz w:val="32"/>
          <w:szCs w:val="32"/>
        </w:rPr>
        <w:t>）1份（不装订）</w:t>
      </w:r>
      <w:r>
        <w:rPr>
          <w:rFonts w:hint="eastAsia" w:ascii="Times New Roman" w:hAnsi="Times New Roman" w:eastAsia="仿宋_GB2312" w:cs="仿宋_GB2312"/>
          <w:spacing w:val="2"/>
          <w:kern w:val="0"/>
          <w:sz w:val="32"/>
          <w:szCs w:val="32"/>
          <w:lang w:eastAsia="zh-CN"/>
        </w:rPr>
        <w:t>，</w:t>
      </w:r>
      <w:r>
        <w:rPr>
          <w:rFonts w:hint="eastAsia" w:ascii="Times New Roman" w:hAnsi="Times New Roman" w:eastAsia="仿宋_GB2312" w:cs="仿宋_GB2312"/>
          <w:spacing w:val="2"/>
          <w:kern w:val="0"/>
          <w:sz w:val="32"/>
          <w:szCs w:val="32"/>
          <w:lang w:val="en-US" w:eastAsia="zh-CN"/>
        </w:rPr>
        <w:t>并自行做好底稿留存</w:t>
      </w:r>
      <w:r>
        <w:rPr>
          <w:rFonts w:hint="eastAsia" w:ascii="Times New Roman" w:hAnsi="Times New Roman" w:eastAsia="仿宋_GB2312" w:cs="仿宋_GB2312"/>
          <w:spacing w:val="2"/>
          <w:kern w:val="0"/>
          <w:sz w:val="32"/>
          <w:szCs w:val="32"/>
        </w:rPr>
        <w:t>。</w:t>
      </w:r>
    </w:p>
    <w:p w14:paraId="14F43C85">
      <w:pPr>
        <w:autoSpaceDE w:val="0"/>
        <w:autoSpaceDN w:val="0"/>
        <w:adjustRightInd w:val="0"/>
        <w:snapToGrid w:val="0"/>
        <w:spacing w:line="560" w:lineRule="exact"/>
        <w:ind w:firstLine="648" w:firstLineChars="200"/>
        <w:jc w:val="left"/>
        <w:rPr>
          <w:rFonts w:hint="eastAsia" w:ascii="Times New Roman" w:hAnsi="Times New Roman" w:eastAsia="仿宋_GB2312" w:cs="仿宋_GB2312"/>
          <w:kern w:val="0"/>
          <w:sz w:val="32"/>
          <w:szCs w:val="32"/>
        </w:rPr>
      </w:pPr>
      <w:r>
        <w:rPr>
          <w:rFonts w:hint="eastAsia" w:ascii="Times New Roman" w:hAnsi="Times New Roman" w:eastAsia="仿宋_GB2312" w:cs="Times New Roman"/>
          <w:spacing w:val="2"/>
          <w:kern w:val="0"/>
          <w:sz w:val="32"/>
          <w:szCs w:val="32"/>
        </w:rPr>
        <w:t>8.</w:t>
      </w:r>
      <w:r>
        <w:rPr>
          <w:rFonts w:hint="eastAsia" w:ascii="Times New Roman" w:hAnsi="Times New Roman" w:eastAsia="仿宋_GB2312" w:cs="仿宋_GB2312"/>
          <w:spacing w:val="2"/>
          <w:kern w:val="0"/>
          <w:sz w:val="32"/>
          <w:szCs w:val="32"/>
        </w:rPr>
        <w:t>报评人员填写《辽宁省报评广播电视系统专业技术资格参评审核表》（附件</w:t>
      </w:r>
      <w:r>
        <w:rPr>
          <w:rFonts w:hint="eastAsia" w:ascii="Times New Roman" w:hAnsi="Times New Roman" w:eastAsia="仿宋_GB2312" w:cs="仿宋_GB2312"/>
          <w:spacing w:val="2"/>
          <w:kern w:val="0"/>
          <w:sz w:val="32"/>
          <w:szCs w:val="32"/>
          <w:lang w:val="en-US" w:eastAsia="zh-CN"/>
        </w:rPr>
        <w:t>3</w:t>
      </w:r>
      <w:r>
        <w:rPr>
          <w:rFonts w:hint="eastAsia" w:ascii="Times New Roman" w:hAnsi="Times New Roman" w:eastAsia="仿宋_GB2312" w:cs="仿宋_GB2312"/>
          <w:spacing w:val="2"/>
          <w:kern w:val="0"/>
          <w:sz w:val="32"/>
          <w:szCs w:val="32"/>
        </w:rPr>
        <w:t>），A3纸扩印，由单位负责人审核后签字，并在左上角加盖单位公章1份（不装订）。</w:t>
      </w:r>
    </w:p>
    <w:p w14:paraId="369C3BCF">
      <w:pPr>
        <w:autoSpaceDE w:val="0"/>
        <w:autoSpaceDN w:val="0"/>
        <w:adjustRightInd w:val="0"/>
        <w:snapToGrid w:val="0"/>
        <w:spacing w:line="560" w:lineRule="exact"/>
        <w:ind w:firstLine="648" w:firstLineChars="200"/>
        <w:jc w:val="left"/>
        <w:rPr>
          <w:rFonts w:hint="eastAsia" w:ascii="Times New Roman" w:hAnsi="Times New Roman" w:eastAsia="仿宋_GB2312" w:cs="仿宋_GB2312"/>
          <w:spacing w:val="2"/>
          <w:kern w:val="0"/>
          <w:sz w:val="32"/>
          <w:szCs w:val="32"/>
        </w:rPr>
      </w:pPr>
      <w:r>
        <w:rPr>
          <w:rFonts w:hint="eastAsia" w:ascii="Times New Roman" w:hAnsi="Times New Roman" w:eastAsia="仿宋_GB2312" w:cs="Times New Roman"/>
          <w:spacing w:val="2"/>
          <w:kern w:val="0"/>
          <w:sz w:val="32"/>
          <w:szCs w:val="32"/>
        </w:rPr>
        <w:t>9.</w:t>
      </w:r>
      <w:r>
        <w:rPr>
          <w:rFonts w:hint="eastAsia" w:ascii="Times New Roman" w:hAnsi="Times New Roman" w:eastAsia="仿宋_GB2312" w:cs="仿宋_GB2312"/>
          <w:spacing w:val="2"/>
          <w:kern w:val="0"/>
          <w:sz w:val="32"/>
          <w:szCs w:val="32"/>
        </w:rPr>
        <w:t>《辽宁省专业技术资格评定表》（附件</w:t>
      </w:r>
      <w:r>
        <w:rPr>
          <w:rFonts w:hint="eastAsia" w:ascii="Times New Roman" w:hAnsi="Times New Roman" w:eastAsia="仿宋_GB2312" w:cs="仿宋_GB2312"/>
          <w:spacing w:val="2"/>
          <w:kern w:val="0"/>
          <w:sz w:val="32"/>
          <w:szCs w:val="32"/>
          <w:lang w:val="en-US" w:eastAsia="zh-CN"/>
        </w:rPr>
        <w:t>5</w:t>
      </w:r>
      <w:r>
        <w:rPr>
          <w:rFonts w:hint="eastAsia" w:ascii="Times New Roman" w:hAnsi="Times New Roman" w:eastAsia="仿宋_GB2312" w:cs="仿宋_GB2312"/>
          <w:spacing w:val="2"/>
          <w:kern w:val="0"/>
          <w:sz w:val="32"/>
          <w:szCs w:val="32"/>
        </w:rPr>
        <w:t>）一式3份（不装订）。</w:t>
      </w:r>
    </w:p>
    <w:p w14:paraId="2138CDF9">
      <w:pPr>
        <w:autoSpaceDE w:val="0"/>
        <w:autoSpaceDN w:val="0"/>
        <w:adjustRightInd w:val="0"/>
        <w:snapToGrid w:val="0"/>
        <w:spacing w:line="560" w:lineRule="exact"/>
        <w:ind w:firstLine="648" w:firstLineChars="200"/>
        <w:jc w:val="left"/>
        <w:rPr>
          <w:rFonts w:hint="eastAsia" w:ascii="Times New Roman" w:hAnsi="Times New Roman" w:eastAsia="仿宋_GB2312" w:cs="仿宋_GB2312"/>
          <w:sz w:val="32"/>
          <w:szCs w:val="32"/>
          <w:lang w:val="en-US" w:eastAsia="zh-CN"/>
        </w:rPr>
      </w:pPr>
      <w:r>
        <w:rPr>
          <w:rFonts w:hint="eastAsia" w:ascii="Times New Roman" w:hAnsi="Times New Roman" w:eastAsia="仿宋_GB2312" w:cs="Times New Roman"/>
          <w:spacing w:val="2"/>
          <w:kern w:val="0"/>
          <w:sz w:val="32"/>
          <w:szCs w:val="32"/>
        </w:rPr>
        <w:t>10.</w:t>
      </w:r>
      <w:r>
        <w:rPr>
          <w:rFonts w:hint="eastAsia" w:ascii="Times New Roman" w:hAnsi="Times New Roman" w:eastAsia="仿宋_GB2312" w:cs="仿宋_GB2312"/>
          <w:spacing w:val="2"/>
          <w:kern w:val="0"/>
          <w:sz w:val="32"/>
          <w:szCs w:val="32"/>
        </w:rPr>
        <w:t>要求装订的材料按顺序装订成册后，装入《辽宁省专业技术资格报评材料袋》（主卷）内。将材料袋封面项目填写清楚（编号项不填），注明评审类别。证书、论著等原件装在副卷内。</w:t>
      </w:r>
      <w:r>
        <w:rPr>
          <w:rFonts w:hint="eastAsia" w:ascii="Times New Roman" w:hAnsi="Times New Roman" w:eastAsia="仿宋_GB2312" w:cs="仿宋_GB2312"/>
          <w:spacing w:val="2"/>
          <w:kern w:val="0"/>
          <w:sz w:val="32"/>
          <w:szCs w:val="32"/>
          <w:lang w:val="en-US" w:eastAsia="zh-CN"/>
        </w:rPr>
        <w:t>主卷、副卷均放入蓝色档案盒上报。</w:t>
      </w:r>
    </w:p>
    <w:p w14:paraId="36322EB3">
      <w:pPr>
        <w:adjustRightInd w:val="0"/>
        <w:snapToGrid w:val="0"/>
        <w:spacing w:line="560" w:lineRule="exact"/>
        <w:ind w:firstLine="648" w:firstLineChars="200"/>
        <w:rPr>
          <w:rFonts w:hint="eastAsia" w:ascii="Times New Roman" w:hAnsi="Times New Roman" w:eastAsia="仿宋_GB2312" w:cs="仿宋_GB2312"/>
          <w:sz w:val="32"/>
          <w:szCs w:val="32"/>
        </w:rPr>
      </w:pPr>
      <w:r>
        <w:rPr>
          <w:rFonts w:hint="eastAsia" w:ascii="Times New Roman" w:hAnsi="Times New Roman" w:eastAsia="仿宋_GB2312" w:cs="Times New Roman"/>
          <w:spacing w:val="2"/>
          <w:kern w:val="0"/>
          <w:sz w:val="32"/>
          <w:szCs w:val="32"/>
        </w:rPr>
        <w:t>11.</w:t>
      </w:r>
      <w:r>
        <w:rPr>
          <w:rFonts w:hint="eastAsia" w:ascii="Times New Roman" w:hAnsi="Times New Roman" w:eastAsia="仿宋_GB2312" w:cs="仿宋_GB2312"/>
          <w:sz w:val="32"/>
          <w:szCs w:val="32"/>
        </w:rPr>
        <w:t>除附件</w:t>
      </w:r>
      <w:r>
        <w:rPr>
          <w:rFonts w:hint="eastAsia" w:ascii="Times New Roman" w:hAnsi="Times New Roman" w:eastAsia="仿宋_GB2312" w:cs="仿宋_GB2312"/>
          <w:sz w:val="32"/>
          <w:szCs w:val="32"/>
          <w:lang w:val="en-US" w:eastAsia="zh-CN"/>
        </w:rPr>
        <w:t>3</w:t>
      </w:r>
      <w:r>
        <w:rPr>
          <w:rFonts w:hint="eastAsia" w:ascii="Times New Roman" w:hAnsi="Times New Roman" w:eastAsia="仿宋_GB2312" w:cs="仿宋_GB2312"/>
          <w:sz w:val="32"/>
          <w:szCs w:val="32"/>
        </w:rPr>
        <w:t>外，所有材料打印或复印必须用A4纸，便于主卷的统一管理、查阅。除</w:t>
      </w:r>
      <w:r>
        <w:rPr>
          <w:rFonts w:hint="eastAsia" w:ascii="Times New Roman" w:hAnsi="Times New Roman" w:eastAsia="仿宋_GB2312" w:cs="仿宋_GB2312"/>
          <w:spacing w:val="2"/>
          <w:kern w:val="0"/>
          <w:sz w:val="32"/>
          <w:szCs w:val="32"/>
        </w:rPr>
        <w:t>《辽宁省专业技术资格评定表》（打印或手写均可）</w:t>
      </w:r>
      <w:r>
        <w:rPr>
          <w:rFonts w:hint="eastAsia" w:ascii="Times New Roman" w:hAnsi="Times New Roman" w:eastAsia="仿宋_GB2312" w:cs="仿宋_GB2312"/>
          <w:sz w:val="32"/>
          <w:szCs w:val="32"/>
        </w:rPr>
        <w:t>外所有表格必须打印，不允许手写。</w:t>
      </w:r>
    </w:p>
    <w:p w14:paraId="64B534F2">
      <w:pPr>
        <w:adjustRightInd w:val="0"/>
        <w:snapToGrid w:val="0"/>
        <w:spacing w:line="560" w:lineRule="exact"/>
        <w:ind w:firstLine="648" w:firstLineChars="200"/>
        <w:rPr>
          <w:rFonts w:hint="eastAsia" w:ascii="Times New Roman" w:hAnsi="Times New Roman" w:eastAsia="黑体" w:cs="黑体"/>
          <w:sz w:val="10"/>
          <w:szCs w:val="10"/>
        </w:rPr>
      </w:pPr>
      <w:r>
        <w:rPr>
          <w:rFonts w:hint="eastAsia" w:ascii="Times New Roman" w:hAnsi="Times New Roman" w:eastAsia="仿宋_GB2312" w:cs="Times New Roman"/>
          <w:spacing w:val="2"/>
          <w:kern w:val="0"/>
          <w:sz w:val="32"/>
          <w:szCs w:val="32"/>
        </w:rPr>
        <w:t>12.</w:t>
      </w:r>
      <w:r>
        <w:rPr>
          <w:rFonts w:hint="eastAsia" w:ascii="Times New Roman" w:hAnsi="Times New Roman" w:eastAsia="仿宋_GB2312" w:cs="仿宋_GB2312"/>
          <w:spacing w:val="2"/>
          <w:kern w:val="0"/>
          <w:sz w:val="32"/>
          <w:szCs w:val="32"/>
        </w:rPr>
        <w:t>各系列申报人员均须提交1寸彩色免冠照片一张，照片后面写明申报专业、申报单位、级别、姓名，各单位按类别、级别分装上报。</w:t>
      </w:r>
      <w:bookmarkStart w:id="0" w:name="_GoBack"/>
      <w:bookmarkEnd w:id="0"/>
    </w:p>
    <w:sectPr>
      <w:headerReference r:id="rId3" w:type="default"/>
      <w:footerReference r:id="rId4" w:type="default"/>
      <w:footerReference r:id="rId5" w:type="even"/>
      <w:pgSz w:w="11906" w:h="16838"/>
      <w:pgMar w:top="2098" w:right="1417"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xi Sans">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方正小标宋_GBK">
    <w:altName w:val="微软雅黑"/>
    <w:panose1 w:val="03000502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 w:name="KSOF36428E1C">
    <w:panose1 w:val="02010609060101010101"/>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8F87D">
    <w:pPr>
      <w:pStyle w:val="8"/>
      <w:rPr>
        <w:lang w:val="en-US"/>
      </w:rPr>
    </w:pPr>
    <w:r>
      <w:rPr>
        <w:sz w:val="18"/>
      </w:rPr>
      <mc:AlternateContent>
        <mc:Choice Requires="wps">
          <w:drawing>
            <wp:anchor distT="0" distB="0" distL="113665" distR="113665" simplePos="0" relativeHeight="251659264" behindDoc="0" locked="0" layoutInCell="1" allowOverlap="1">
              <wp:simplePos x="0" y="0"/>
              <wp:positionH relativeFrom="margin">
                <wp:align>outside</wp:align>
              </wp:positionH>
              <wp:positionV relativeFrom="paragraph">
                <wp:posOffset>-52705</wp:posOffset>
              </wp:positionV>
              <wp:extent cx="4978400" cy="230505"/>
              <wp:effectExtent l="0" t="0" r="0" b="0"/>
              <wp:wrapNone/>
              <wp:docPr id="41" name="文本框 14"/>
              <wp:cNvGraphicFramePr/>
              <a:graphic xmlns:a="http://schemas.openxmlformats.org/drawingml/2006/main">
                <a:graphicData uri="http://schemas.microsoft.com/office/word/2010/wordprocessingShape">
                  <wps:wsp>
                    <wps:cNvSpPr/>
                    <wps:spPr>
                      <a:xfrm>
                        <a:off x="0" y="0"/>
                        <a:ext cx="4978398" cy="230251"/>
                      </a:xfrm>
                      <a:prstGeom prst="rect">
                        <a:avLst/>
                      </a:prstGeom>
                      <a:noFill/>
                      <a:ln w="6350" cap="flat" cmpd="sng">
                        <a:noFill/>
                        <a:prstDash val="solid"/>
                        <a:round/>
                      </a:ln>
                    </wps:spPr>
                    <wps:txbx>
                      <w:txbxContent>
                        <w:p w14:paraId="5D079DF9">
                          <w:pPr>
                            <w:pStyle w:val="8"/>
                            <w:rPr>
                              <w:rFonts w:ascii="仿宋_GB2312" w:hAnsi="仿宋_GB2312" w:eastAsia="宋体" w:cs="仿宋_GB2312"/>
                              <w:sz w:val="28"/>
                              <w:szCs w:val="28"/>
                              <w:lang w:val="en-US" w:eastAsia="zh-CN"/>
                            </w:rPr>
                          </w:pPr>
                          <w:r>
                            <w:rPr>
                              <w:rFonts w:hint="eastAsia" w:ascii="宋体" w:eastAsia="宋体" w:cs="宋体"/>
                              <w:sz w:val="28"/>
                              <w:szCs w:val="28"/>
                              <w:lang w:val="en-US" w:eastAsia="zh-CN"/>
                            </w:rPr>
                            <w:t xml:space="preserve">                                                  </w:t>
                          </w:r>
                          <w:r>
                            <w:rPr>
                              <w:rFonts w:hint="eastAsia" w:ascii="宋体" w:eastAsia="宋体" w:cs="宋体"/>
                              <w:sz w:val="28"/>
                              <w:szCs w:val="28"/>
                            </w:rPr>
                            <w:fldChar w:fldCharType="begin"/>
                          </w:r>
                          <w:r>
                            <w:rPr>
                              <w:rFonts w:hint="eastAsia" w:ascii="宋体" w:eastAsia="宋体" w:cs="宋体"/>
                              <w:sz w:val="28"/>
                              <w:szCs w:val="28"/>
                            </w:rPr>
                            <w:instrText xml:space="preserve"> PAGE  \* MERGEFORMAT </w:instrText>
                          </w:r>
                          <w:r>
                            <w:rPr>
                              <w:rFonts w:hint="eastAsia" w:ascii="宋体" w:eastAsia="宋体" w:cs="宋体"/>
                              <w:sz w:val="28"/>
                              <w:szCs w:val="28"/>
                            </w:rPr>
                            <w:fldChar w:fldCharType="separate"/>
                          </w:r>
                          <w:r>
                            <w:rPr>
                              <w:rFonts w:hint="eastAsia" w:ascii="宋体" w:eastAsia="宋体" w:cs="宋体"/>
                              <w:sz w:val="28"/>
                              <w:szCs w:val="28"/>
                            </w:rPr>
                            <w:t>1</w:t>
                          </w:r>
                          <w:r>
                            <w:rPr>
                              <w:rFonts w:hint="eastAsia" w:ascii="宋体" w:eastAsia="宋体" w:cs="宋体"/>
                              <w:sz w:val="28"/>
                              <w:szCs w:val="28"/>
                            </w:rPr>
                            <w:fldChar w:fldCharType="end"/>
                          </w:r>
                          <w:r>
                            <w:rPr>
                              <w:rFonts w:hint="eastAsia" w:ascii="宋体" w:eastAsia="宋体" w:cs="宋体"/>
                              <w:sz w:val="28"/>
                              <w:szCs w:val="28"/>
                              <w:lang w:val="en-US" w:eastAsia="zh-CN"/>
                            </w:rPr>
                            <w:t xml:space="preserve">  </w:t>
                          </w:r>
                        </w:p>
                      </w:txbxContent>
                    </wps:txbx>
                    <wps:bodyPr vert="horz" wrap="none" lIns="0" tIns="0" rIns="0" bIns="0" anchor="t" anchorCtr="0" upright="0">
                      <a:spAutoFit/>
                    </wps:bodyPr>
                  </wps:wsp>
                </a:graphicData>
              </a:graphic>
            </wp:anchor>
          </w:drawing>
        </mc:Choice>
        <mc:Fallback>
          <w:pict>
            <v:rect id="文本框 14" o:spid="_x0000_s1026" o:spt="1" style="position:absolute;left:0pt;margin-top:-4.15pt;height:18.15pt;width:392pt;mso-position-horizontal:outside;mso-position-horizontal-relative:margin;mso-wrap-style:none;z-index:251659264;mso-width-relative:page;mso-height-relative:page;" filled="f" stroked="f" coordsize="21600,21600" o:gfxdata="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JEHPvZAAAABgEAAA8AAAAAAAAAAQAgAAAAIgAA&#10;AGRycy9kb3ducmV2LnhtbFBLAQIUABQAAAAIAIdO4kDettxKBwIAAPcDAAAOAAAAAAAAAAEAIAAA&#10;ACgBAABkcnMvZTJvRG9jLnhtbFBLBQYAAAAABgAGAFkBAAChBQAAAAA=&#10;">
              <v:fill on="f" focussize="0,0"/>
              <v:stroke on="f" weight="0.5pt" joinstyle="round"/>
              <v:imagedata o:title=""/>
              <o:lock v:ext="edit" aspectratio="f"/>
              <v:textbox inset="0mm,0mm,0mm,0mm" style="mso-fit-shape-to-text:t;">
                <w:txbxContent>
                  <w:p w14:paraId="5D079DF9">
                    <w:pPr>
                      <w:pStyle w:val="8"/>
                      <w:rPr>
                        <w:rFonts w:ascii="仿宋_GB2312" w:hAnsi="仿宋_GB2312" w:eastAsia="宋体" w:cs="仿宋_GB2312"/>
                        <w:sz w:val="28"/>
                        <w:szCs w:val="28"/>
                        <w:lang w:val="en-US" w:eastAsia="zh-CN"/>
                      </w:rPr>
                    </w:pPr>
                    <w:r>
                      <w:rPr>
                        <w:rFonts w:hint="eastAsia" w:ascii="宋体" w:eastAsia="宋体" w:cs="宋体"/>
                        <w:sz w:val="28"/>
                        <w:szCs w:val="28"/>
                        <w:lang w:val="en-US" w:eastAsia="zh-CN"/>
                      </w:rPr>
                      <w:t xml:space="preserve">                                                  </w:t>
                    </w:r>
                    <w:r>
                      <w:rPr>
                        <w:rFonts w:hint="eastAsia" w:ascii="宋体" w:eastAsia="宋体" w:cs="宋体"/>
                        <w:sz w:val="28"/>
                        <w:szCs w:val="28"/>
                      </w:rPr>
                      <w:fldChar w:fldCharType="begin"/>
                    </w:r>
                    <w:r>
                      <w:rPr>
                        <w:rFonts w:hint="eastAsia" w:ascii="宋体" w:eastAsia="宋体" w:cs="宋体"/>
                        <w:sz w:val="28"/>
                        <w:szCs w:val="28"/>
                      </w:rPr>
                      <w:instrText xml:space="preserve"> PAGE  \* MERGEFORMAT </w:instrText>
                    </w:r>
                    <w:r>
                      <w:rPr>
                        <w:rFonts w:hint="eastAsia" w:ascii="宋体" w:eastAsia="宋体" w:cs="宋体"/>
                        <w:sz w:val="28"/>
                        <w:szCs w:val="28"/>
                      </w:rPr>
                      <w:fldChar w:fldCharType="separate"/>
                    </w:r>
                    <w:r>
                      <w:rPr>
                        <w:rFonts w:hint="eastAsia" w:ascii="宋体" w:eastAsia="宋体" w:cs="宋体"/>
                        <w:sz w:val="28"/>
                        <w:szCs w:val="28"/>
                      </w:rPr>
                      <w:t>1</w:t>
                    </w:r>
                    <w:r>
                      <w:rPr>
                        <w:rFonts w:hint="eastAsia" w:ascii="宋体" w:eastAsia="宋体" w:cs="宋体"/>
                        <w:sz w:val="28"/>
                        <w:szCs w:val="28"/>
                      </w:rPr>
                      <w:fldChar w:fldCharType="end"/>
                    </w:r>
                    <w:r>
                      <w:rPr>
                        <w:rFonts w:hint="eastAsia" w:ascii="宋体" w:eastAsia="宋体" w:cs="宋体"/>
                        <w:sz w:val="28"/>
                        <w:szCs w:val="28"/>
                        <w:lang w:val="en-US" w:eastAsia="zh-CN"/>
                      </w:rPr>
                      <w:t xml:space="preserve">  </w:t>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DAD75">
    <w:pPr>
      <w:pStyle w:val="8"/>
    </w:pPr>
    <w:r>
      <w:rPr>
        <w:sz w:val="18"/>
      </w:rPr>
      <mc:AlternateContent>
        <mc:Choice Requires="wps">
          <w:drawing>
            <wp:anchor distT="0" distB="0" distL="113665" distR="113665" simplePos="0" relativeHeight="251659264" behindDoc="0" locked="0" layoutInCell="1" allowOverlap="1">
              <wp:simplePos x="0" y="0"/>
              <wp:positionH relativeFrom="margin">
                <wp:align>outside</wp:align>
              </wp:positionH>
              <wp:positionV relativeFrom="paragraph">
                <wp:posOffset>-52705</wp:posOffset>
              </wp:positionV>
              <wp:extent cx="609600" cy="262890"/>
              <wp:effectExtent l="0" t="0" r="0" b="0"/>
              <wp:wrapNone/>
              <wp:docPr id="44" name="文本框 15"/>
              <wp:cNvGraphicFramePr/>
              <a:graphic xmlns:a="http://schemas.openxmlformats.org/drawingml/2006/main">
                <a:graphicData uri="http://schemas.microsoft.com/office/word/2010/wordprocessingShape">
                  <wps:wsp>
                    <wps:cNvSpPr/>
                    <wps:spPr>
                      <a:xfrm>
                        <a:off x="0" y="0"/>
                        <a:ext cx="609600" cy="263144"/>
                      </a:xfrm>
                      <a:prstGeom prst="rect">
                        <a:avLst/>
                      </a:prstGeom>
                      <a:noFill/>
                      <a:ln w="6350" cap="flat" cmpd="sng">
                        <a:noFill/>
                        <a:prstDash val="solid"/>
                        <a:round/>
                      </a:ln>
                    </wps:spPr>
                    <wps:txbx>
                      <w:txbxContent>
                        <w:p w14:paraId="3044A48A">
                          <w:pPr>
                            <w:pStyle w:val="8"/>
                            <w:rPr>
                              <w:rStyle w:val="12"/>
                              <w:rFonts w:hint="eastAsia" w:ascii="宋体" w:eastAsia="宋体" w:cs="宋体"/>
                              <w:sz w:val="32"/>
                              <w:szCs w:val="32"/>
                            </w:rPr>
                          </w:pPr>
                          <w:r>
                            <w:rPr>
                              <w:rStyle w:val="12"/>
                              <w:rFonts w:hint="eastAsia" w:ascii="宋体" w:eastAsia="宋体" w:cs="宋体"/>
                              <w:sz w:val="32"/>
                              <w:szCs w:val="32"/>
                            </w:rPr>
                            <w:fldChar w:fldCharType="begin"/>
                          </w:r>
                          <w:r>
                            <w:rPr>
                              <w:rStyle w:val="12"/>
                              <w:rFonts w:hint="eastAsia" w:ascii="宋体" w:eastAsia="宋体" w:cs="宋体"/>
                              <w:sz w:val="32"/>
                              <w:szCs w:val="32"/>
                            </w:rPr>
                            <w:instrText xml:space="preserve">PAGE  </w:instrText>
                          </w:r>
                          <w:r>
                            <w:rPr>
                              <w:rStyle w:val="12"/>
                              <w:rFonts w:hint="eastAsia" w:ascii="宋体" w:eastAsia="宋体" w:cs="宋体"/>
                              <w:sz w:val="32"/>
                              <w:szCs w:val="32"/>
                            </w:rPr>
                            <w:fldChar w:fldCharType="separate"/>
                          </w:r>
                          <w:r>
                            <w:rPr>
                              <w:rStyle w:val="12"/>
                              <w:rFonts w:hint="eastAsia" w:ascii="宋体" w:eastAsia="宋体" w:cs="宋体"/>
                              <w:sz w:val="32"/>
                              <w:szCs w:val="32"/>
                            </w:rPr>
                            <w:t xml:space="preserve"> </w:t>
                          </w:r>
                          <w:r>
                            <w:rPr>
                              <w:rStyle w:val="12"/>
                              <w:rFonts w:hint="eastAsia" w:ascii="宋体" w:eastAsia="宋体" w:cs="宋体"/>
                              <w:sz w:val="32"/>
                              <w:szCs w:val="32"/>
                            </w:rPr>
                            <w:fldChar w:fldCharType="end"/>
                          </w:r>
                        </w:p>
                      </w:txbxContent>
                    </wps:txbx>
                    <wps:bodyPr vert="horz" wrap="none" lIns="0" tIns="0" rIns="0" bIns="0" anchor="t" anchorCtr="0" upright="0">
                      <a:spAutoFit/>
                    </wps:bodyPr>
                  </wps:wsp>
                </a:graphicData>
              </a:graphic>
            </wp:anchor>
          </w:drawing>
        </mc:Choice>
        <mc:Fallback>
          <w:pict>
            <v:rect id="文本框 15" o:spid="_x0000_s1026" o:spt="1" style="position:absolute;left:0pt;margin-top:-4.15pt;height:20.7pt;width:48pt;mso-position-horizontal:outside;mso-position-horizontal-relative:margin;mso-wrap-style:none;z-index:251659264;mso-width-relative:page;mso-height-relative:page;" filled="f" stroked="f" coordsize="21600,21600" o:gfxdata="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LwLBM7YAAAABQEAAA8AAAAAAAAAAQAgAAAAIgAAAGRycy9k&#10;b3ducmV2LnhtbFBLAQIUABQAAAAIAIdO4kAbg6pEAgIAAPYDAAAOAAAAAAAAAAEAIAAAACcBAABk&#10;cnMvZTJvRG9jLnhtbFBLBQYAAAAABgAGAFkBAACbBQAAAAA=&#10;">
              <v:fill on="f" focussize="0,0"/>
              <v:stroke on="f" weight="0.5pt" joinstyle="round"/>
              <v:imagedata o:title=""/>
              <o:lock v:ext="edit" aspectratio="f"/>
              <v:textbox inset="0mm,0mm,0mm,0mm" style="mso-fit-shape-to-text:t;">
                <w:txbxContent>
                  <w:p w14:paraId="3044A48A">
                    <w:pPr>
                      <w:pStyle w:val="8"/>
                      <w:rPr>
                        <w:rStyle w:val="12"/>
                        <w:rFonts w:hint="eastAsia" w:ascii="宋体" w:eastAsia="宋体" w:cs="宋体"/>
                        <w:sz w:val="32"/>
                        <w:szCs w:val="32"/>
                      </w:rPr>
                    </w:pPr>
                    <w:r>
                      <w:rPr>
                        <w:rStyle w:val="12"/>
                        <w:rFonts w:hint="eastAsia" w:ascii="宋体" w:eastAsia="宋体" w:cs="宋体"/>
                        <w:sz w:val="32"/>
                        <w:szCs w:val="32"/>
                      </w:rPr>
                      <w:fldChar w:fldCharType="begin"/>
                    </w:r>
                    <w:r>
                      <w:rPr>
                        <w:rStyle w:val="12"/>
                        <w:rFonts w:hint="eastAsia" w:ascii="宋体" w:eastAsia="宋体" w:cs="宋体"/>
                        <w:sz w:val="32"/>
                        <w:szCs w:val="32"/>
                      </w:rPr>
                      <w:instrText xml:space="preserve">PAGE  </w:instrText>
                    </w:r>
                    <w:r>
                      <w:rPr>
                        <w:rStyle w:val="12"/>
                        <w:rFonts w:hint="eastAsia" w:ascii="宋体" w:eastAsia="宋体" w:cs="宋体"/>
                        <w:sz w:val="32"/>
                        <w:szCs w:val="32"/>
                      </w:rPr>
                      <w:fldChar w:fldCharType="separate"/>
                    </w:r>
                    <w:r>
                      <w:rPr>
                        <w:rStyle w:val="12"/>
                        <w:rFonts w:hint="eastAsia" w:ascii="宋体" w:eastAsia="宋体" w:cs="宋体"/>
                        <w:sz w:val="32"/>
                        <w:szCs w:val="32"/>
                      </w:rPr>
                      <w:t xml:space="preserve"> </w:t>
                    </w:r>
                    <w:r>
                      <w:rPr>
                        <w:rStyle w:val="12"/>
                        <w:rFonts w:hint="eastAsia" w:ascii="宋体" w:eastAsia="宋体" w:cs="宋体"/>
                        <w:sz w:val="32"/>
                        <w:szCs w:val="32"/>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E9AA6">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dit="readOnly"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ulTrailSpace/>
    <w:doNotExpandShiftReturn/>
    <w:adjustLineHeightInTable/>
    <w:useFELayout/>
    <w:compatSetting w:name="compatibilityMode" w:uri="http://schemas.microsoft.com/office/word" w:val="14"/>
  </w:compat>
  <w:rsids>
    <w:rsidRoot w:val="00000000"/>
    <w:rsid w:val="025D7685"/>
    <w:rsid w:val="0B210B62"/>
    <w:rsid w:val="0B692B37"/>
    <w:rsid w:val="0FAD2FF6"/>
    <w:rsid w:val="16622336"/>
    <w:rsid w:val="16927846"/>
    <w:rsid w:val="2C732BA7"/>
    <w:rsid w:val="2FD07BC3"/>
    <w:rsid w:val="55A92E9B"/>
    <w:rsid w:val="60B85C28"/>
    <w:rsid w:val="63715C78"/>
    <w:rsid w:val="665F43C6"/>
    <w:rsid w:val="686E18EB"/>
    <w:rsid w:val="738F2B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3">
    <w:name w:val="heading 1"/>
    <w:basedOn w:val="1"/>
    <w:next w:val="1"/>
    <w:qFormat/>
    <w:uiPriority w:val="0"/>
    <w:pPr>
      <w:keepNext/>
      <w:keepLines/>
      <w:widowControl w:val="0"/>
      <w:spacing w:before="340" w:after="330" w:line="578" w:lineRule="auto"/>
      <w:outlineLvl w:val="0"/>
    </w:pPr>
    <w:rPr>
      <w:b/>
      <w:bCs/>
      <w:kern w:val="44"/>
      <w:sz w:val="44"/>
    </w:rPr>
  </w:style>
  <w:style w:type="paragraph" w:styleId="4">
    <w:name w:val="heading 2"/>
    <w:basedOn w:val="1"/>
    <w:next w:val="1"/>
    <w:qFormat/>
    <w:uiPriority w:val="0"/>
    <w:pPr>
      <w:keepNext/>
      <w:keepLines/>
      <w:widowControl w:val="0"/>
      <w:spacing w:before="260" w:after="260" w:line="415" w:lineRule="auto"/>
      <w:outlineLvl w:val="1"/>
    </w:pPr>
    <w:rPr>
      <w:rFonts w:ascii="Luxi Sans" w:hAnsi="Luxi Sans" w:eastAsia="黑体"/>
      <w:b/>
      <w:sz w:val="32"/>
    </w:rPr>
  </w:style>
  <w:style w:type="paragraph" w:styleId="5">
    <w:name w:val="heading 3"/>
    <w:basedOn w:val="1"/>
    <w:next w:val="1"/>
    <w:qFormat/>
    <w:uiPriority w:val="0"/>
    <w:pPr>
      <w:keepNext/>
      <w:keepLines/>
      <w:widowControl w:val="0"/>
      <w:spacing w:before="260" w:after="260" w:line="415" w:lineRule="auto"/>
      <w:outlineLvl w:val="2"/>
    </w:pPr>
    <w:rPr>
      <w:b/>
      <w:sz w:val="32"/>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index 6"/>
    <w:basedOn w:val="1"/>
    <w:next w:val="1"/>
    <w:qFormat/>
    <w:uiPriority w:val="0"/>
    <w:pPr>
      <w:ind w:left="2100"/>
    </w:pPr>
  </w:style>
  <w:style w:type="paragraph" w:styleId="6">
    <w:name w:val="index 5"/>
    <w:basedOn w:val="1"/>
    <w:next w:val="1"/>
    <w:qFormat/>
    <w:uiPriority w:val="0"/>
    <w:pPr>
      <w:ind w:left="800" w:leftChars="800"/>
    </w:pPr>
    <w:rPr>
      <w:rFonts w:ascii="Calibri" w:hAnsi="Calibri"/>
      <w:szCs w:val="24"/>
    </w:rPr>
  </w:style>
  <w:style w:type="paragraph" w:styleId="7">
    <w:name w:val="Body Text"/>
    <w:basedOn w:val="1"/>
    <w:next w:val="1"/>
    <w:qFormat/>
    <w:uiPriority w:val="0"/>
    <w:pPr>
      <w:spacing w:after="120"/>
    </w:pPr>
  </w:style>
  <w:style w:type="paragraph" w:styleId="8">
    <w:name w:val="footer"/>
    <w:basedOn w:val="1"/>
    <w:next w:val="6"/>
    <w:qFormat/>
    <w:uiPriority w:val="0"/>
    <w:pPr>
      <w:tabs>
        <w:tab w:val="center" w:pos="4153"/>
        <w:tab w:val="right" w:pos="8306"/>
      </w:tabs>
      <w:snapToGrid w:val="0"/>
    </w:pPr>
    <w:rPr>
      <w:sz w:val="18"/>
      <w:szCs w:val="18"/>
    </w:rPr>
  </w:style>
  <w:style w:type="paragraph" w:styleId="9">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character" w:styleId="12">
    <w:name w:val="page number"/>
    <w:basedOn w:val="1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3</Pages>
  <Words>6339</Words>
  <Characters>6502</Characters>
  <Lines>1683</Lines>
  <Paragraphs>602</Paragraphs>
  <TotalTime>1034</TotalTime>
  <ScaleCrop>false</ScaleCrop>
  <LinksUpToDate>false</LinksUpToDate>
  <CharactersWithSpaces>7352</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2026-04-15T16:38:00Z</dcterms:created>
  <dc:creator>DELL</dc:creator>
  <cp:lastModifiedBy>夕波千鸟</cp:lastModifiedBy>
  <cp:lastPrinted>2026-06-24T01:15:00Z</cp:lastPrinted>
  <dcterms:modified xsi:type="dcterms:W3CDTF">2026-06-24T03:10:57Z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eyJoZGlkIjoiNDQxZjYzNDBhNTY2OTdjZTVhZjk5MTZkMjEwODYxOWMiLCJ1c2VySWQiOiIxMTA1OTc2MDcwIn0=</vt:lpwstr>
  </property>
  <property fmtid="{D5CDD505-2E9C-101B-9397-08002B2CF9AE}" pid="4" name="ICV">
    <vt:lpwstr>9693B23AD4DA4E8BBF6EC6FAA04B4408_12</vt:lpwstr>
  </property>
</Properties>
</file>